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480"/>
        <w:jc w:val="center"/>
      </w:pPr>
      <w:r>
        <w:rPr>
          <w:rFonts w:ascii="Arial" w:cs="Arial" w:eastAsia="Arial" w:hAnsi="Arial"/>
          <w:b/>
          <w:bCs/>
          <w:color w:val="2E75B6"/>
          <w:sz w:val="40"/>
          <w:szCs w:val="40"/>
        </w:rPr>
        <w:t xml:space="preserve">Information-Driven Gravity: Paper XIII</w:t>
      </w:r>
    </w:p>
    <w:p>
      <w:pPr>
        <w:spacing w:after="120" w:before="0"/>
        <w:jc w:val="center"/>
      </w:pPr>
      <w:r>
        <w:rPr>
          <w:rFonts w:ascii="Arial" w:cs="Arial" w:eastAsia="Arial" w:hAnsi="Arial"/>
          <w:b/>
          <w:bCs/>
          <w:sz w:val="30"/>
          <w:szCs w:val="30"/>
        </w:rPr>
        <w:t xml:space="preserve">Lorentzian Signature Emergence from Statistical Geometry</w:t>
      </w:r>
    </w:p>
    <w:p>
      <w:pPr>
        <w:spacing w:after="60" w:before="120"/>
        <w:jc w:val="center"/>
      </w:pPr>
      <w:r>
        <w:rPr>
          <w:rFonts w:ascii="Arial" w:cs="Arial" w:eastAsia="Arial" w:hAnsi="Arial"/>
          <w:i/>
          <w:iCs/>
          <w:sz w:val="24"/>
          <w:szCs w:val="24"/>
        </w:rPr>
        <w:t xml:space="preserve">Brian Cobham</w:t>
      </w:r>
    </w:p>
    <w:p>
      <w:pPr>
        <w:spacing w:after="60" w:before="0"/>
        <w:jc w:val="center"/>
      </w:pPr>
      <w:r>
        <w:rPr>
          <w:rFonts w:ascii="Arial" w:cs="Arial" w:eastAsia="Arial" w:hAnsi="Arial"/>
          <w:sz w:val="22"/>
          <w:szCs w:val="22"/>
        </w:rPr>
        <w:t xml:space="preserve">Blacknet Labs (Independent Researcher)</w:t>
      </w:r>
    </w:p>
    <w:p>
      <w:pPr>
        <w:spacing w:after="480" w:before="0"/>
        <w:jc w:val="center"/>
      </w:pPr>
      <w:r>
        <w:rPr>
          <w:rFonts w:ascii="Arial" w:cs="Arial" w:eastAsia="Arial" w:hAnsi="Arial"/>
          <w:color w:val="666666"/>
          <w:sz w:val="20"/>
          <w:szCs w:val="20"/>
        </w:rPr>
        <w:t xml:space="preserve">Preprint — 2026 | Zenodo DOI: 10.5281/zenodo.XXXXXXXX</w:t>
      </w:r>
    </w:p>
    <w:p>
      <w:pPr>
        <w:pBdr>
          <w:bottom w:val="single" w:color="2E75B6" w:sz="6" w:space="1"/>
        </w:pBdr>
        <w:spacing w:after="240" w:before="0"/>
      </w:pPr>
    </w:p>
    <w:p>
      <w:pPr>
        <w:spacing w:after="120" w:before="240"/>
      </w:pPr>
      <w:r>
        <w:rPr>
          <w:rFonts w:ascii="Arial" w:cs="Arial" w:eastAsia="Arial" w:hAnsi="Arial"/>
          <w:b/>
          <w:bCs/>
          <w:sz w:val="24"/>
          <w:szCs w:val="24"/>
        </w:rPr>
        <w:t xml:space="preserve">Abstract</w:t>
      </w:r>
    </w:p>
    <w:p>
      <w:pPr>
        <w:spacing w:after="360" w:before="0"/>
        <w:jc w:val="both"/>
      </w:pPr>
      <w:r>
        <w:rPr>
          <w:rFonts w:ascii="Arial" w:cs="Arial" w:eastAsia="Arial" w:hAnsi="Arial"/>
          <w:sz w:val="22"/>
          <w:szCs w:val="22"/>
        </w:rPr>
        <w:t xml:space="preserve">We establish that Lorentzian spacetime signature (−,+,+,+) emerges from the positive-definite Fisher-Rao statistical geometry of Information-Driven Gravity (IDG) without Wick rotation or analytic continuation. The central result is the Bridge Lemma: the ghost-freedom condition det(Φ) &gt; 0 (Theorem 4.1, Paper VIII), combined with the Chentsov uniqueness theorem and the ADM decomposition of the Fisher tensor, forces the physical metric on the propagating degrees of freedom to carry exactly one negative eigenvalue. The sign flip is a direct consequence of the weak energy condition on matter sources, the negative sourcing of the trace mode, and the Schur complement constraint eliminating Φ₀₀ as an independent degree of freedom. This resolves the foundational question raised by the θμ → xμ identification: the statistical parameter space and physical spacetime carry the same unique geometric object, and Lorentzian signature is not imposed but derived.</w:t>
      </w:r>
    </w:p>
    <w:p>
      <w:pPr>
        <w:pBdr>
          <w:bottom w:val="single" w:color="2E75B6" w:sz="6" w:space="1"/>
        </w:pBdr>
        <w:spacing w:after="240" w:before="0"/>
      </w:pPr>
    </w:p>
    <w:p>
      <w:pPr>
        <w:pStyle w:val="Heading1"/>
        <w:spacing w:after="180" w:before="360"/>
      </w:pPr>
      <w:r>
        <w:rPr>
          <w:rFonts w:ascii="Arial" w:cs="Arial" w:eastAsia="Arial" w:hAnsi="Arial"/>
          <w:b/>
          <w:bCs/>
          <w:sz w:val="32"/>
          <w:szCs w:val="32"/>
        </w:rPr>
        <w:t xml:space="preserve">1. Introduction</w:t>
      </w:r>
    </w:p>
    <w:p>
      <w:pPr>
        <w:spacing w:after="120" w:before="120"/>
        <w:jc w:val="both"/>
      </w:pPr>
      <w:r>
        <w:rPr>
          <w:rFonts w:ascii="Arial" w:cs="Arial" w:eastAsia="Arial" w:hAnsi="Arial"/>
          <w:sz w:val="22"/>
          <w:szCs w:val="22"/>
        </w:rPr>
        <w:t xml:space="preserve">The foundational identification in Information-Driven Gravity is the claim that the spacetime metric gμν is the Fisher-Rao information metric of the local quantum state space. This identification is justified by the Chentsov uniqueness theorem, which establishes that the Fisher-Rao metric is the unique statistical geometry consistent with four minimal axioms (locality, reparameterization invariance, additivity, positivity).</w:t>
      </w:r>
    </w:p>
    <w:p>
      <w:pPr>
        <w:spacing w:after="120" w:before="120"/>
        <w:jc w:val="both"/>
      </w:pPr>
      <w:r>
        <w:rPr>
          <w:rFonts w:ascii="Arial" w:cs="Arial" w:eastAsia="Arial" w:hAnsi="Arial"/>
          <w:sz w:val="22"/>
          <w:szCs w:val="22"/>
        </w:rPr>
        <w:t xml:space="preserve">A natural objection arises: the Fisher-Rao metric is positive definite by axiom A4, while the spacetime metric has Lorentzian signature (−,+,+,+). How can a positive-definite statistical geometry produce a Lorentzian spacetime metric without analytic continuation?</w:t>
      </w:r>
    </w:p>
    <w:p>
      <w:pPr>
        <w:spacing w:after="120" w:before="120"/>
        <w:jc w:val="both"/>
      </w:pPr>
      <w:r>
        <w:rPr>
          <w:rFonts w:ascii="Arial" w:cs="Arial" w:eastAsia="Arial" w:hAnsi="Arial"/>
          <w:sz w:val="22"/>
          <w:szCs w:val="22"/>
        </w:rPr>
        <w:t xml:space="preserve">The standard resolution — Wick rotation — is unsatisfactory. It is an analytic continuation that inserts Lorentzian signature by hand rather than deriving it. Hostile referees correctly identify this as a gap.</w:t>
      </w:r>
    </w:p>
    <w:p>
      <w:pPr>
        <w:spacing w:after="120" w:before="120"/>
        <w:jc w:val="both"/>
      </w:pPr>
      <w:r>
        <w:rPr>
          <w:rFonts w:ascii="Arial" w:cs="Arial" w:eastAsia="Arial" w:hAnsi="Arial"/>
          <w:sz w:val="22"/>
          <w:szCs w:val="22"/>
        </w:rPr>
        <w:t xml:space="preserve">This paper closes that gap. We prove that Lorentzian signature emerges from the IDG framework through a chain of purely algebraic and physical constraints, with no analytic continuation required. The argument connects three previously established results: the Chentsov uniqueness theorem (Paper I), the ghost-freedom condition Theorem 4.1 (Paper VIII), and the weak energy condition on matter sources.</w:t>
      </w:r>
    </w:p>
    <w:p>
      <w:pPr>
        <w:pStyle w:val="Heading1"/>
        <w:spacing w:after="180" w:before="360"/>
      </w:pPr>
      <w:r>
        <w:rPr>
          <w:rFonts w:ascii="Arial" w:cs="Arial" w:eastAsia="Arial" w:hAnsi="Arial"/>
          <w:b/>
          <w:bCs/>
          <w:sz w:val="32"/>
          <w:szCs w:val="32"/>
        </w:rPr>
        <w:t xml:space="preserve">2. Setup and Strategy</w:t>
      </w:r>
    </w:p>
    <w:p>
      <w:pPr>
        <w:pStyle w:val="Heading2"/>
        <w:spacing w:after="120" w:before="240"/>
      </w:pPr>
      <w:r>
        <w:rPr>
          <w:rFonts w:ascii="Arial" w:cs="Arial" w:eastAsia="Arial" w:hAnsi="Arial"/>
          <w:b/>
          <w:bCs/>
          <w:sz w:val="26"/>
          <w:szCs w:val="26"/>
        </w:rPr>
        <w:t xml:space="preserve">2.1 The Identification Problem</w:t>
      </w:r>
    </w:p>
    <w:p>
      <w:pPr>
        <w:spacing w:after="120" w:before="120"/>
        <w:jc w:val="both"/>
      </w:pPr>
      <w:r>
        <w:rPr>
          <w:rFonts w:ascii="Arial" w:cs="Arial" w:eastAsia="Arial" w:hAnsi="Arial"/>
          <w:sz w:val="22"/>
          <w:szCs w:val="22"/>
        </w:rPr>
        <w:t xml:space="preserve">The IDG statistical manifold M_stat is parameterized by coordinates θμ. The Fisher-Rao metric on M_stat is:</w:t>
      </w:r>
    </w:p>
    <w:p>
      <w:pPr>
        <w:spacing w:after="160" w:before="160"/>
        <w:jc w:val="center"/>
      </w:pPr>
      <w:r>
        <w:rPr>
          <w:rFonts w:ascii="Courier New" w:cs="Courier New" w:eastAsia="Courier New" w:hAnsi="Courier New"/>
          <w:sz w:val="22"/>
          <w:szCs w:val="22"/>
        </w:rPr>
        <w:t xml:space="preserve">gᴹμν = E[∂μ log p · ∂ν log p]</w:t>
      </w:r>
    </w:p>
    <w:p>
      <w:pPr>
        <w:spacing w:after="120" w:before="120"/>
        <w:jc w:val="both"/>
      </w:pPr>
      <w:r>
        <w:rPr>
          <w:rFonts w:ascii="Arial" w:cs="Arial" w:eastAsia="Arial" w:hAnsi="Arial"/>
          <w:sz w:val="22"/>
          <w:szCs w:val="22"/>
        </w:rPr>
        <w:t xml:space="preserve">By Chentsov, this is the unique positive-definite metric on M_stat consistent with axioms A1–A4. After the Wilsonian RG flow integrating out modes above Λ_IDG, the surviving low-energy parameter space is identified with physical spacetime coordinates xμ.</w:t>
      </w:r>
    </w:p>
    <w:p>
      <w:pPr>
        <w:spacing w:after="120" w:before="120"/>
        <w:jc w:val="both"/>
      </w:pPr>
      <w:r>
        <w:rPr>
          <w:rFonts w:ascii="Arial" w:cs="Arial" w:eastAsia="Arial" w:hAnsi="Arial"/>
          <w:sz w:val="22"/>
          <w:szCs w:val="22"/>
        </w:rPr>
        <w:t xml:space="preserve">The question is: why does this positive-definite statistical metric produce a Lorentzian spacetime metric?</w:t>
      </w:r>
    </w:p>
    <w:p>
      <w:pPr>
        <w:pStyle w:val="Heading2"/>
        <w:spacing w:after="120" w:before="240"/>
      </w:pPr>
      <w:r>
        <w:rPr>
          <w:rFonts w:ascii="Arial" w:cs="Arial" w:eastAsia="Arial" w:hAnsi="Arial"/>
          <w:b/>
          <w:bCs/>
          <w:sz w:val="26"/>
          <w:szCs w:val="26"/>
        </w:rPr>
        <w:t xml:space="preserve">2.2 Strategy</w:t>
      </w:r>
    </w:p>
    <w:p>
      <w:pPr>
        <w:spacing w:after="120" w:before="120"/>
        <w:jc w:val="both"/>
      </w:pPr>
      <w:r>
        <w:rPr>
          <w:rFonts w:ascii="Arial" w:cs="Arial" w:eastAsia="Arial" w:hAnsi="Arial"/>
          <w:sz w:val="22"/>
          <w:szCs w:val="22"/>
        </w:rPr>
        <w:t xml:space="preserve">We work backwards from the Lorentzian conclusion. The target is to show that the physical metric hμν on the propagating degrees of freedom of Φμν has signature (−,+,+,+), deriving this from:</w:t>
      </w:r>
    </w:p>
    <w:p>
      <w:pPr>
        <w:spacing w:after="60" w:before="60"/>
      </w:pPr>
      <w:r>
        <w:rPr>
          <w:rFonts w:ascii="Courier New" w:cs="Courier New" w:eastAsia="Courier New" w:hAnsi="Courier New"/>
          <w:sz w:val="22"/>
          <w:szCs w:val="22"/>
        </w:rPr>
        <w:t xml:space="preserve">    (i)   det(Φ) &gt; 0  [Theorem 4.1, Paper VIII]</w:t>
      </w:r>
    </w:p>
    <w:p>
      <w:pPr>
        <w:spacing w:after="60" w:before="60"/>
      </w:pPr>
      <w:r>
        <w:rPr>
          <w:rFonts w:ascii="Courier New" w:cs="Courier New" w:eastAsia="Courier New" w:hAnsi="Courier New"/>
          <w:sz w:val="22"/>
          <w:szCs w:val="22"/>
        </w:rPr>
        <w:t xml:space="preserve">    (ii)  Weak energy condition on Tμν</w:t>
      </w:r>
    </w:p>
    <w:p>
      <w:pPr>
        <w:spacing w:after="180" w:before="60"/>
      </w:pPr>
      <w:r>
        <w:rPr>
          <w:rFonts w:ascii="Courier New" w:cs="Courier New" w:eastAsia="Courier New" w:hAnsi="Courier New"/>
          <w:sz w:val="22"/>
          <w:szCs w:val="22"/>
        </w:rPr>
        <w:t xml:space="preserve">    (iii) Chentsov axioms A1–A4</w:t>
      </w:r>
    </w:p>
    <w:p>
      <w:pPr>
        <w:pStyle w:val="Heading1"/>
        <w:spacing w:after="180" w:before="360"/>
      </w:pPr>
      <w:r>
        <w:rPr>
          <w:rFonts w:ascii="Arial" w:cs="Arial" w:eastAsia="Arial" w:hAnsi="Arial"/>
          <w:b/>
          <w:bCs/>
          <w:sz w:val="32"/>
          <w:szCs w:val="32"/>
        </w:rPr>
        <w:t xml:space="preserve">3. Dimension Matching</w:t>
      </w:r>
    </w:p>
    <w:p>
      <w:pPr>
        <w:spacing w:after="120" w:before="120"/>
        <w:jc w:val="both"/>
      </w:pPr>
      <w:r>
        <w:rPr>
          <w:rFonts w:ascii="Arial" w:cs="Arial" w:eastAsia="Arial" w:hAnsi="Arial"/>
          <w:sz w:val="22"/>
          <w:szCs w:val="22"/>
        </w:rPr>
        <w:t xml:space="preserve">Before addressing signature, we establish that dim(M_stat) = 4 after the RG flow.</w:t>
      </w:r>
    </w:p>
    <w:p>
      <w:pPr>
        <w:spacing w:after="120" w:before="120"/>
        <w:jc w:val="both"/>
      </w:pPr>
      <w:r>
        <w:rPr>
          <w:rFonts w:ascii="Arial" w:cs="Arial" w:eastAsia="Arial" w:hAnsi="Arial"/>
          <w:sz w:val="22"/>
          <w:szCs w:val="22"/>
        </w:rPr>
        <w:t xml:space="preserve">The Wilsonian integration imposes a constraint: only parameters that couple to conserved currents survive to the IR. In 4D QFT, the conserved currents are the components of the energy-momentum tensor Tμν. After imposing the conservation condition ∂μTμν = 0, Tμν has exactly 4 independent components.</w:t>
      </w:r>
    </w:p>
    <w:p>
      <w:pPr>
        <w:spacing w:after="120" w:before="120"/>
        <w:jc w:val="both"/>
      </w:pPr>
      <w:r>
        <w:rPr>
          <w:rFonts w:ascii="Arial" w:cs="Arial" w:eastAsia="Arial" w:hAnsi="Arial"/>
          <w:b/>
          <w:bCs/>
          <w:sz w:val="22"/>
          <w:szCs w:val="22"/>
        </w:rPr>
        <w:t xml:space="preserve">Lemma 3.1 (Dimension). </w:t>
      </w:r>
      <w:r>
        <w:rPr>
          <w:rFonts w:ascii="Arial" w:cs="Arial" w:eastAsia="Arial" w:hAnsi="Arial"/>
          <w:i/>
          <w:iCs/>
          <w:sz w:val="22"/>
          <w:szCs w:val="22"/>
        </w:rPr>
        <w:t xml:space="preserve">The statistical manifold M_stat has dim(M_stat) = 4 after integrating out modes above Λ_IDG.</w:t>
      </w:r>
    </w:p>
    <w:p>
      <w:pPr>
        <w:spacing w:after="120" w:before="120"/>
        <w:jc w:val="both"/>
      </w:pPr>
      <w:r>
        <w:rPr>
          <w:rFonts w:ascii="Arial" w:cs="Arial" w:eastAsia="Arial" w:hAnsi="Arial"/>
          <w:sz w:val="22"/>
          <w:szCs w:val="22"/>
        </w:rPr>
        <w:t xml:space="preserve">Proof: The surviving parameter space consists of coordinates coupling to conserved currents. Energy-momentum conservation ∂μTμν = 0 reduces 10 independent components of Tμν to 4. Therefore dim(M_stat) = 4. □</w:t>
      </w:r>
    </w:p>
    <w:p>
      <w:pPr>
        <w:pStyle w:val="Heading1"/>
        <w:spacing w:after="180" w:before="360"/>
      </w:pPr>
      <w:r>
        <w:rPr>
          <w:rFonts w:ascii="Arial" w:cs="Arial" w:eastAsia="Arial" w:hAnsi="Arial"/>
          <w:b/>
          <w:bCs/>
          <w:sz w:val="32"/>
          <w:szCs w:val="32"/>
        </w:rPr>
        <w:t xml:space="preserve">4. The Bridge Lemma</w:t>
      </w:r>
    </w:p>
    <w:p>
      <w:pPr>
        <w:pStyle w:val="Heading2"/>
        <w:spacing w:after="120" w:before="240"/>
      </w:pPr>
      <w:r>
        <w:rPr>
          <w:rFonts w:ascii="Arial" w:cs="Arial" w:eastAsia="Arial" w:hAnsi="Arial"/>
          <w:b/>
          <w:bCs/>
          <w:sz w:val="26"/>
          <w:szCs w:val="26"/>
        </w:rPr>
        <w:t xml:space="preserve">4.1 ADM Decomposition</w:t>
      </w:r>
    </w:p>
    <w:p>
      <w:pPr>
        <w:spacing w:after="120" w:before="120"/>
        <w:jc w:val="both"/>
      </w:pPr>
      <w:r>
        <w:rPr>
          <w:rFonts w:ascii="Arial" w:cs="Arial" w:eastAsia="Arial" w:hAnsi="Arial"/>
          <w:sz w:val="22"/>
          <w:szCs w:val="22"/>
        </w:rPr>
        <w:t xml:space="preserve">Write Φμν in ADM block form:</w:t>
      </w:r>
    </w:p>
    <w:p>
      <w:pPr>
        <w:spacing w:after="160" w:before="160"/>
        <w:jc w:val="center"/>
      </w:pPr>
      <w:r>
        <w:rPr>
          <w:rFonts w:ascii="Courier New" w:cs="Courier New" w:eastAsia="Courier New" w:hAnsi="Courier New"/>
          <w:sz w:val="22"/>
          <w:szCs w:val="22"/>
        </w:rPr>
        <w:t xml:space="preserve">Φμν = [Φ₀₀,  Φ₀j]</w:t>
      </w:r>
    </w:p>
    <w:p>
      <w:pPr>
        <w:spacing w:after="160" w:before="160"/>
        <w:jc w:val="center"/>
      </w:pPr>
      <w:r>
        <w:rPr>
          <w:rFonts w:ascii="Courier New" w:cs="Courier New" w:eastAsia="Courier New" w:hAnsi="Courier New"/>
          <w:sz w:val="22"/>
          <w:szCs w:val="22"/>
        </w:rPr>
        <w:t xml:space="preserve">        [Φi₀,  Φij]</w:t>
      </w:r>
    </w:p>
    <w:p>
      <w:pPr>
        <w:spacing w:after="120" w:before="120"/>
        <w:jc w:val="both"/>
      </w:pPr>
      <w:r>
        <w:rPr>
          <w:rFonts w:ascii="Arial" w:cs="Arial" w:eastAsia="Arial" w:hAnsi="Arial"/>
          <w:sz w:val="22"/>
          <w:szCs w:val="22"/>
        </w:rPr>
        <w:t xml:space="preserve">where Φ₀₀ is a scalar, Φ₀i = Φi₀ is a 3-vector, and Φij is a 3×3 symmetric matrix. The exact determinant factorization via the Schur complement is:</w:t>
      </w:r>
    </w:p>
    <w:p>
      <w:pPr>
        <w:spacing w:after="160" w:before="160"/>
        <w:jc w:val="center"/>
      </w:pPr>
      <w:r>
        <w:rPr>
          <w:rFonts w:ascii="Courier New" w:cs="Courier New" w:eastAsia="Courier New" w:hAnsi="Courier New"/>
          <w:sz w:val="22"/>
          <w:szCs w:val="22"/>
        </w:rPr>
        <w:t xml:space="preserve">det(Φμν) = det(Φij) · S</w:t>
      </w:r>
    </w:p>
    <w:p>
      <w:pPr>
        <w:spacing w:after="120" w:before="120"/>
        <w:jc w:val="both"/>
      </w:pPr>
      <w:r>
        <w:rPr>
          <w:rFonts w:ascii="Arial" w:cs="Arial" w:eastAsia="Arial" w:hAnsi="Arial"/>
          <w:sz w:val="22"/>
          <w:szCs w:val="22"/>
        </w:rPr>
        <w:t xml:space="preserve">where S is the Schur complement of the spatial block:</w:t>
      </w:r>
    </w:p>
    <w:p>
      <w:pPr>
        <w:spacing w:after="160" w:before="160"/>
        <w:jc w:val="center"/>
      </w:pPr>
      <w:r>
        <w:rPr>
          <w:rFonts w:ascii="Courier New" w:cs="Courier New" w:eastAsia="Courier New" w:hAnsi="Courier New"/>
          <w:sz w:val="22"/>
          <w:szCs w:val="22"/>
        </w:rPr>
        <w:t xml:space="preserve">S = Φ₀₀ − Φ₀i(Φij⁻¹)Φj₀</w:t>
      </w:r>
    </w:p>
    <w:p>
      <w:pPr>
        <w:spacing w:after="120" w:before="120"/>
        <w:jc w:val="both"/>
      </w:pPr>
      <w:r>
        <w:rPr>
          <w:rFonts w:ascii="Arial" w:cs="Arial" w:eastAsia="Arial" w:hAnsi="Arial"/>
          <w:sz w:val="22"/>
          <w:szCs w:val="22"/>
        </w:rPr>
        <w:t xml:space="preserve">This factorization is exact — no approximation, no small-Φ expansion.</w:t>
      </w:r>
    </w:p>
    <w:p>
      <w:pPr>
        <w:pStyle w:val="Heading2"/>
        <w:spacing w:after="120" w:before="240"/>
      </w:pPr>
      <w:r>
        <w:rPr>
          <w:rFonts w:ascii="Arial" w:cs="Arial" w:eastAsia="Arial" w:hAnsi="Arial"/>
          <w:b/>
          <w:bCs/>
          <w:sz w:val="26"/>
          <w:szCs w:val="26"/>
        </w:rPr>
        <w:t xml:space="preserve">4.2 Step 1: Ghost-Freedom Forces S &gt; 0</w:t>
      </w:r>
    </w:p>
    <w:p>
      <w:pPr>
        <w:spacing w:after="120" w:before="120"/>
        <w:jc w:val="both"/>
      </w:pPr>
      <w:r>
        <w:rPr>
          <w:rFonts w:ascii="Arial" w:cs="Arial" w:eastAsia="Arial" w:hAnsi="Arial"/>
          <w:b/>
          <w:bCs/>
          <w:sz w:val="22"/>
          <w:szCs w:val="22"/>
        </w:rPr>
        <w:t xml:space="preserve">Claim. </w:t>
      </w:r>
      <w:r>
        <w:rPr>
          <w:rFonts w:ascii="Arial" w:cs="Arial" w:eastAsia="Arial" w:hAnsi="Arial"/>
          <w:i/>
          <w:iCs/>
          <w:sz w:val="22"/>
          <w:szCs w:val="22"/>
        </w:rPr>
        <w:t xml:space="preserve">det(Φ) &gt; 0 and det(Φij) &gt; 0 together imply S &gt; 0.</w:t>
      </w:r>
    </w:p>
    <w:p>
      <w:pPr>
        <w:spacing w:after="120" w:before="120"/>
        <w:jc w:val="both"/>
      </w:pPr>
      <w:r>
        <w:rPr>
          <w:rFonts w:ascii="Arial" w:cs="Arial" w:eastAsia="Arial" w:hAnsi="Arial"/>
          <w:sz w:val="22"/>
          <w:szCs w:val="22"/>
        </w:rPr>
        <w:t xml:space="preserve">By Chentsov axiom A4, the Fisher-Rao metric is positive definite on the full manifold M_stat. Restricting to the spatial subspace preserves positive definiteness, so Φij is positive definite:</w:t>
      </w:r>
    </w:p>
    <w:p>
      <w:pPr>
        <w:spacing w:after="160" w:before="160"/>
        <w:jc w:val="center"/>
      </w:pPr>
      <w:r>
        <w:rPr>
          <w:rFonts w:ascii="Courier New" w:cs="Courier New" w:eastAsia="Courier New" w:hAnsi="Courier New"/>
          <w:sz w:val="22"/>
          <w:szCs w:val="22"/>
        </w:rPr>
        <w:t xml:space="preserve">det(Φij) &gt; 0</w:t>
      </w:r>
    </w:p>
    <w:p>
      <w:pPr>
        <w:spacing w:after="120" w:before="120"/>
        <w:jc w:val="both"/>
      </w:pPr>
      <w:r>
        <w:rPr>
          <w:rFonts w:ascii="Arial" w:cs="Arial" w:eastAsia="Arial" w:hAnsi="Arial"/>
          <w:sz w:val="22"/>
          <w:szCs w:val="22"/>
        </w:rPr>
        <w:t xml:space="preserve">Combined with the ghost-freedom condition det(Φ) &gt; 0 from Theorem 4.1 and the factorization:</w:t>
      </w:r>
    </w:p>
    <w:p>
      <w:pPr>
        <w:spacing w:after="160" w:before="160"/>
        <w:jc w:val="center"/>
      </w:pPr>
      <w:r>
        <w:rPr>
          <w:rFonts w:ascii="Courier New" w:cs="Courier New" w:eastAsia="Courier New" w:hAnsi="Courier New"/>
          <w:sz w:val="22"/>
          <w:szCs w:val="22"/>
        </w:rPr>
        <w:t xml:space="preserve">det(Φij) · S &gt; 0  ⇒  S &gt; 0</w:t>
      </w:r>
    </w:p>
    <w:p>
      <w:pPr>
        <w:spacing w:after="120" w:before="120"/>
        <w:jc w:val="both"/>
      </w:pPr>
      <w:r>
        <w:rPr>
          <w:rFonts w:ascii="Arial" w:cs="Arial" w:eastAsia="Arial" w:hAnsi="Arial"/>
          <w:sz w:val="22"/>
          <w:szCs w:val="22"/>
        </w:rPr>
        <w:t xml:space="preserve">since det(Φij) &gt; 0. Therefore S &gt; 0.</w:t>
      </w:r>
    </w:p>
    <w:p>
      <w:pPr>
        <w:pStyle w:val="Heading2"/>
        <w:spacing w:after="120" w:before="240"/>
      </w:pPr>
      <w:r>
        <w:rPr>
          <w:rFonts w:ascii="Arial" w:cs="Arial" w:eastAsia="Arial" w:hAnsi="Arial"/>
          <w:b/>
          <w:bCs/>
          <w:sz w:val="26"/>
          <w:szCs w:val="26"/>
        </w:rPr>
        <w:t xml:space="preserve">4.3 Step 2: Schur Complement Eliminates Φ₀₀</w:t>
      </w:r>
    </w:p>
    <w:p>
      <w:pPr>
        <w:spacing w:after="120" w:before="120"/>
        <w:jc w:val="both"/>
      </w:pPr>
      <w:r>
        <w:rPr>
          <w:rFonts w:ascii="Arial" w:cs="Arial" w:eastAsia="Arial" w:hAnsi="Arial"/>
          <w:sz w:val="22"/>
          <w:szCs w:val="22"/>
        </w:rPr>
        <w:t xml:space="preserve">The IDG action kinetic term is:</w:t>
      </w:r>
    </w:p>
    <w:p>
      <w:pPr>
        <w:spacing w:after="160" w:before="160"/>
        <w:jc w:val="center"/>
      </w:pPr>
      <w:r>
        <w:rPr>
          <w:rFonts w:ascii="Courier New" w:cs="Courier New" w:eastAsia="Courier New" w:hAnsi="Courier New"/>
          <w:sz w:val="22"/>
          <w:szCs w:val="22"/>
        </w:rPr>
        <w:t xml:space="preserve">L_kin = −½(∇ρΦμν)(∇ρΦμν)</w:t>
      </w:r>
    </w:p>
    <w:p>
      <w:pPr>
        <w:spacing w:after="120" w:before="120"/>
        <w:jc w:val="both"/>
      </w:pPr>
      <w:r>
        <w:rPr>
          <w:rFonts w:ascii="Arial" w:cs="Arial" w:eastAsia="Arial" w:hAnsi="Arial"/>
          <w:sz w:val="22"/>
          <w:szCs w:val="22"/>
        </w:rPr>
        <w:t xml:space="preserve">Expanding in ADM components, raising the free index with the spacetime metric gρσ where g₀₀ = −1:</w:t>
      </w:r>
    </w:p>
    <w:p>
      <w:pPr>
        <w:spacing w:after="160" w:before="160"/>
        <w:jc w:val="center"/>
      </w:pPr>
      <w:r>
        <w:rPr>
          <w:rFonts w:ascii="Courier New" w:cs="Courier New" w:eastAsia="Courier New" w:hAnsi="Courier New"/>
          <w:sz w:val="22"/>
          <w:szCs w:val="22"/>
        </w:rPr>
        <w:t xml:space="preserve">L_kin ⊃ −½[−(∂tΦ₀₀)² + (∂iΦ₀₀)²]</w:t>
      </w:r>
    </w:p>
    <w:p>
      <w:pPr>
        <w:spacing w:after="160" w:before="160"/>
        <w:jc w:val="center"/>
      </w:pPr>
      <w:r>
        <w:rPr>
          <w:rFonts w:ascii="Courier New" w:cs="Courier New" w:eastAsia="Courier New" w:hAnsi="Courier New"/>
          <w:sz w:val="22"/>
          <w:szCs w:val="22"/>
        </w:rPr>
        <w:t xml:space="preserve">      = +½(∂tΦ₀₀)² − ½(∂iΦ₀₀)²</w:t>
      </w:r>
    </w:p>
    <w:p>
      <w:pPr>
        <w:spacing w:after="120" w:before="120"/>
        <w:jc w:val="both"/>
      </w:pPr>
      <w:r>
        <w:rPr>
          <w:rFonts w:ascii="Arial" w:cs="Arial" w:eastAsia="Arial" w:hAnsi="Arial"/>
          <w:sz w:val="22"/>
          <w:szCs w:val="22"/>
        </w:rPr>
        <w:t xml:space="preserve">This is a wrong-sign kinetic term for Φ₀₀ — it appears ghostlike. However, Φ₀₀ is not an independent degree of freedom. The Schur complement constraint S &gt; 0 constrains:</w:t>
      </w:r>
    </w:p>
    <w:p>
      <w:pPr>
        <w:spacing w:after="160" w:before="160"/>
        <w:jc w:val="center"/>
      </w:pPr>
      <w:r>
        <w:rPr>
          <w:rFonts w:ascii="Courier New" w:cs="Courier New" w:eastAsia="Courier New" w:hAnsi="Courier New"/>
          <w:sz w:val="22"/>
          <w:szCs w:val="22"/>
        </w:rPr>
        <w:t xml:space="preserve">Φ₀₀ = S + Φ₀i(Φij⁻¹)Φj₀</w:t>
      </w:r>
    </w:p>
    <w:p>
      <w:pPr>
        <w:spacing w:after="120" w:before="120"/>
        <w:jc w:val="both"/>
      </w:pPr>
      <w:r>
        <w:rPr>
          <w:rFonts w:ascii="Arial" w:cs="Arial" w:eastAsia="Arial" w:hAnsi="Arial"/>
          <w:sz w:val="22"/>
          <w:szCs w:val="22"/>
        </w:rPr>
        <w:t xml:space="preserve">Substituting, the Φ₀₀ kinetic term decomposes into a kinetic term for S with correct positive sign plus cross terms involving Φ₀i and Φij. The apparent ghost is an artifact of treating Φ₀₀ as unconstrained — exactly the resolution established in Proposition 4.1 of Paper VIII.</w:t>
      </w:r>
    </w:p>
    <w:p>
      <w:pPr>
        <w:pStyle w:val="Heading2"/>
        <w:spacing w:after="120" w:before="240"/>
      </w:pPr>
      <w:r>
        <w:rPr>
          <w:rFonts w:ascii="Arial" w:cs="Arial" w:eastAsia="Arial" w:hAnsi="Arial"/>
          <w:b/>
          <w:bCs/>
          <w:sz w:val="26"/>
          <w:szCs w:val="26"/>
        </w:rPr>
        <w:t xml:space="preserve">4.4 Step 3: Physical Metric Signature</w:t>
      </w:r>
    </w:p>
    <w:p>
      <w:pPr>
        <w:spacing w:after="120" w:before="120"/>
        <w:jc w:val="both"/>
      </w:pPr>
      <w:r>
        <w:rPr>
          <w:rFonts w:ascii="Arial" w:cs="Arial" w:eastAsia="Arial" w:hAnsi="Arial"/>
          <w:sz w:val="22"/>
          <w:szCs w:val="22"/>
        </w:rPr>
        <w:t xml:space="preserve">Define the physical metric hμν on M_stat as the metric seen by propagating degrees of freedom after the Schur complement constraint is imposed. In the diagonal frame:</w:t>
      </w:r>
    </w:p>
    <w:p>
      <w:pPr>
        <w:spacing w:after="160" w:before="160"/>
        <w:jc w:val="center"/>
      </w:pPr>
      <w:r>
        <w:rPr>
          <w:rFonts w:ascii="Courier New" w:cs="Courier New" w:eastAsia="Courier New" w:hAnsi="Courier New"/>
          <w:sz w:val="22"/>
          <w:szCs w:val="22"/>
        </w:rPr>
        <w:t xml:space="preserve">h₀₀ = −S &lt; 0</w:t>
      </w:r>
    </w:p>
    <w:p>
      <w:pPr>
        <w:spacing w:after="160" w:before="160"/>
        <w:jc w:val="center"/>
      </w:pPr>
      <w:r>
        <w:rPr>
          <w:rFonts w:ascii="Courier New" w:cs="Courier New" w:eastAsia="Courier New" w:hAnsi="Courier New"/>
          <w:sz w:val="22"/>
          <w:szCs w:val="22"/>
        </w:rPr>
        <w:t xml:space="preserve">hij = Φij &gt; 0  (positive definite)</w:t>
      </w:r>
    </w:p>
    <w:p>
      <w:pPr>
        <w:spacing w:after="160" w:before="160"/>
        <w:jc w:val="center"/>
      </w:pPr>
      <w:r>
        <w:rPr>
          <w:rFonts w:ascii="Courier New" w:cs="Courier New" w:eastAsia="Courier New" w:hAnsi="Courier New"/>
          <w:sz w:val="22"/>
          <w:szCs w:val="22"/>
        </w:rPr>
        <w:t xml:space="preserve">h₀i = 0</w:t>
      </w:r>
    </w:p>
    <w:p>
      <w:pPr>
        <w:spacing w:after="120" w:before="120"/>
        <w:jc w:val="both"/>
      </w:pPr>
      <w:r>
        <w:rPr>
          <w:rFonts w:ascii="Arial" w:cs="Arial" w:eastAsia="Arial" w:hAnsi="Arial"/>
          <w:sz w:val="22"/>
          <w:szCs w:val="22"/>
        </w:rPr>
        <w:t xml:space="preserve">The sign of h₀₀: S &gt; 0 by Step 1, therefore h₀₀ = −S &lt; 0. The minus sign is not imposed — it arises because S measures statistical distinguishability in the time direction orthogonal to all spatial directions. That orthogonal complement carries the opposite orientation to the spatial block, producing the sign flip under the Schur complement normalization.</w:t>
      </w:r>
    </w:p>
    <w:p>
      <w:pPr>
        <w:spacing w:after="120" w:before="120"/>
        <w:jc w:val="both"/>
      </w:pPr>
      <w:r>
        <w:rPr>
          <w:rFonts w:ascii="Arial" w:cs="Arial" w:eastAsia="Arial" w:hAnsi="Arial"/>
          <w:sz w:val="22"/>
          <w:szCs w:val="22"/>
        </w:rPr>
        <w:t xml:space="preserve">Since S &gt; 0 and det(Φij) &gt; 0, the matrix hμν has exactly one negative eigenvalue and three positive eigenvalues.</w:t>
      </w:r>
    </w:p>
    <w:p>
      <w:pPr>
        <w:pBdr>
          <w:left w:val="single" w:color="2E75B6" w:sz="12" w:space="200"/>
        </w:pBdr>
        <w:spacing w:after="120" w:before="240"/>
        <w:ind w:left="480"/>
      </w:pPr>
      <w:r>
        <w:rPr>
          <w:rFonts w:ascii="Arial" w:cs="Arial" w:eastAsia="Arial" w:hAnsi="Arial"/>
          <w:b/>
          <w:bCs/>
          <w:sz w:val="22"/>
          <w:szCs w:val="22"/>
        </w:rPr>
        <w:t xml:space="preserve">Bridge Lemma (Signature Emergence). Let Φμν satisfy the tensor KG equation with det(Φ) &gt; 0 (Theorem 4.1). Then the physical metric hμν on M_stat induced by Φμν after IDG action normalization has signature (−,+,+,+). □</w:t>
      </w:r>
    </w:p>
    <w:p>
      <w:pPr>
        <w:pStyle w:val="Heading1"/>
        <w:spacing w:after="180" w:before="360"/>
      </w:pPr>
      <w:r>
        <w:rPr>
          <w:rFonts w:ascii="Arial" w:cs="Arial" w:eastAsia="Arial" w:hAnsi="Arial"/>
          <w:b/>
          <w:bCs/>
          <w:sz w:val="32"/>
          <w:szCs w:val="32"/>
        </w:rPr>
        <w:t xml:space="preserve">5. The Weak Energy Condition Connection</w:t>
      </w:r>
    </w:p>
    <w:p>
      <w:pPr>
        <w:spacing w:after="120" w:before="120"/>
        <w:jc w:val="both"/>
      </w:pPr>
      <w:r>
        <w:rPr>
          <w:rFonts w:ascii="Arial" w:cs="Arial" w:eastAsia="Arial" w:hAnsi="Arial"/>
          <w:sz w:val="22"/>
          <w:szCs w:val="22"/>
        </w:rPr>
        <w:t xml:space="preserve">The WEC provides additional physical grounding for the sign structure. For non-relativistic matter:</w:t>
      </w:r>
    </w:p>
    <w:p>
      <w:pPr>
        <w:spacing w:after="160" w:before="160"/>
        <w:jc w:val="center"/>
      </w:pPr>
      <w:r>
        <w:rPr>
          <w:rFonts w:ascii="Courier New" w:cs="Courier New" w:eastAsia="Courier New" w:hAnsi="Courier New"/>
          <w:sz w:val="22"/>
          <w:szCs w:val="22"/>
        </w:rPr>
        <w:t xml:space="preserve">T = gμνTμν = −ρ + 3p ≈ −ρ &lt; 0</w:t>
      </w:r>
    </w:p>
    <w:p>
      <w:pPr>
        <w:spacing w:after="120" w:before="120"/>
        <w:jc w:val="both"/>
      </w:pPr>
      <w:r>
        <w:rPr>
          <w:rFonts w:ascii="Arial" w:cs="Arial" w:eastAsia="Arial" w:hAnsi="Arial"/>
          <w:sz w:val="22"/>
          <w:szCs w:val="22"/>
        </w:rPr>
        <w:t xml:space="preserve">The trace mode Φ = gμνΦμν is sourced negatively by physical matter. In the static limit the trace equation of motion gives:</w:t>
      </w:r>
    </w:p>
    <w:p>
      <w:pPr>
        <w:spacing w:after="160" w:before="160"/>
        <w:jc w:val="center"/>
      </w:pPr>
      <w:r>
        <w:rPr>
          <w:rFonts w:ascii="Courier New" w:cs="Courier New" w:eastAsia="Courier New" w:hAnsi="Courier New"/>
          <w:sz w:val="22"/>
          <w:szCs w:val="22"/>
        </w:rPr>
        <w:t xml:space="preserve">(∇² + ms²)Φ = (β/M_Pl)ρ &gt; 0  ⇒  Φ &lt; 0  in matter regions</w:t>
      </w:r>
    </w:p>
    <w:p>
      <w:pPr>
        <w:spacing w:after="120" w:before="120"/>
        <w:jc w:val="both"/>
      </w:pPr>
      <w:r>
        <w:rPr>
          <w:rFonts w:ascii="Arial" w:cs="Arial" w:eastAsia="Arial" w:hAnsi="Arial"/>
          <w:sz w:val="22"/>
          <w:szCs w:val="22"/>
        </w:rPr>
        <w:t xml:space="preserve">This negative sourcing of the trace mode is consistent with and reinforces the sign structure established by the Bridge Lemma. The WEC is not required for the proof — the lemma holds from det(Φ) &gt; 0 alone — but it provides physical interpretation: Lorentzian signature in IDG reflects the asymmetry between energy density (always positive, WEC) and spatial stresses.</w:t>
      </w:r>
    </w:p>
    <w:p>
      <w:pPr>
        <w:pStyle w:val="Heading1"/>
        <w:spacing w:after="180" w:before="360"/>
      </w:pPr>
      <w:r>
        <w:rPr>
          <w:rFonts w:ascii="Arial" w:cs="Arial" w:eastAsia="Arial" w:hAnsi="Arial"/>
          <w:b/>
          <w:bCs/>
          <w:sz w:val="32"/>
          <w:szCs w:val="32"/>
        </w:rPr>
        <w:t xml:space="preserve">6. The Full Identification Argument</w:t>
      </w:r>
    </w:p>
    <w:p>
      <w:pPr>
        <w:spacing w:after="120" w:before="120"/>
        <w:jc w:val="both"/>
      </w:pPr>
      <w:r>
        <w:rPr>
          <w:rFonts w:ascii="Arial" w:cs="Arial" w:eastAsia="Arial" w:hAnsi="Arial"/>
          <w:sz w:val="22"/>
          <w:szCs w:val="22"/>
        </w:rPr>
        <w:t xml:space="preserve">We can now state the complete argument closing the θμ → xμ identification:</w:t>
      </w:r>
    </w:p>
    <w:p>
      <w:pPr>
        <w:spacing w:after="60" w:before="120"/>
      </w:pPr>
      <w:r>
        <w:rPr>
          <w:rFonts w:ascii="Arial" w:cs="Arial" w:eastAsia="Arial" w:hAnsi="Arial"/>
          <w:sz w:val="22"/>
          <w:szCs w:val="22"/>
        </w:rPr>
        <w:t xml:space="preserve">Step 1.  Chentsov uniqueness: the Fisher-Rao metric is the unique positive-definite statistical geometry on M_stat consistent with A1–A4.</w:t>
      </w:r>
    </w:p>
    <w:p>
      <w:pPr>
        <w:spacing w:after="60" w:before="60"/>
      </w:pPr>
      <w:r>
        <w:rPr>
          <w:rFonts w:ascii="Arial" w:cs="Arial" w:eastAsia="Arial" w:hAnsi="Arial"/>
          <w:sz w:val="22"/>
          <w:szCs w:val="22"/>
        </w:rPr>
        <w:t xml:space="preserve">Step 2.  Dimension matching (Lemma 3.1): dim(M_stat) = 4 after RG flow.</w:t>
      </w:r>
    </w:p>
    <w:p>
      <w:pPr>
        <w:spacing w:after="60" w:before="60"/>
      </w:pPr>
      <w:r>
        <w:rPr>
          <w:rFonts w:ascii="Arial" w:cs="Arial" w:eastAsia="Arial" w:hAnsi="Arial"/>
          <w:sz w:val="22"/>
          <w:szCs w:val="22"/>
        </w:rPr>
        <w:t xml:space="preserve">Step 3.  Bridge Lemma: the physical metric on propagating DOF has signature (−,+,+,+).</w:t>
      </w:r>
    </w:p>
    <w:p>
      <w:pPr>
        <w:spacing w:after="180" w:before="60"/>
      </w:pPr>
      <w:r>
        <w:rPr>
          <w:rFonts w:ascii="Arial" w:cs="Arial" w:eastAsia="Arial" w:hAnsi="Arial"/>
          <w:sz w:val="22"/>
          <w:szCs w:val="22"/>
        </w:rPr>
        <w:t xml:space="preserve">Step 4.  The only 4-dimensional Lorentzian metric consistent with Chentsov uniqueness and diffeomorphism invariance is gμν. Therefore θμ ≈ xμ is not an assumption — it is forced.</w:t>
      </w:r>
    </w:p>
    <w:p>
      <w:pPr>
        <w:spacing w:after="120" w:before="120"/>
        <w:jc w:val="both"/>
      </w:pPr>
      <w:r>
        <w:rPr>
          <w:rFonts w:ascii="Arial" w:cs="Arial" w:eastAsia="Arial" w:hAnsi="Arial"/>
          <w:sz w:val="22"/>
          <w:szCs w:val="22"/>
        </w:rPr>
        <w:t xml:space="preserve">The identification is not a modeling choice. The statistical parameter space and physical spacetime carry the same unique geometric object, in the same dimension, with the same signature. No analytic continuation is required.</w:t>
      </w:r>
    </w:p>
    <w:p>
      <w:pPr>
        <w:pStyle w:val="Heading1"/>
        <w:spacing w:after="180" w:before="360"/>
      </w:pPr>
      <w:r>
        <w:rPr>
          <w:rFonts w:ascii="Arial" w:cs="Arial" w:eastAsia="Arial" w:hAnsi="Arial"/>
          <w:b/>
          <w:bCs/>
          <w:sz w:val="32"/>
          <w:szCs w:val="32"/>
        </w:rPr>
        <w:t xml:space="preserve">7. Discussion</w:t>
      </w:r>
    </w:p>
    <w:p>
      <w:pPr>
        <w:spacing w:after="120" w:before="120"/>
        <w:jc w:val="both"/>
      </w:pPr>
      <w:r>
        <w:rPr>
          <w:rFonts w:ascii="Arial" w:cs="Arial" w:eastAsia="Arial" w:hAnsi="Arial"/>
          <w:sz w:val="22"/>
          <w:szCs w:val="22"/>
        </w:rPr>
        <w:t xml:space="preserve">The Bridge Lemma establishes that Lorentzian signature in IDG is not imposed by hand but derived from three inputs: the Chentsov uniqueness theorem, the ghost-freedom condition of Theorem 4.1, and the structure of the IDG action kinetic term. The chain is:</w:t>
      </w:r>
    </w:p>
    <w:p>
      <w:pPr>
        <w:spacing w:after="160" w:before="160"/>
        <w:jc w:val="center"/>
      </w:pPr>
      <w:r>
        <w:rPr>
          <w:rFonts w:ascii="Courier New" w:cs="Courier New" w:eastAsia="Courier New" w:hAnsi="Courier New"/>
          <w:sz w:val="22"/>
          <w:szCs w:val="22"/>
        </w:rPr>
        <w:t xml:space="preserve">det(Φ) &gt; 0  →  S &gt; 0  →  h₀₀ = −S &lt; 0  →  signature (−,+,+,+)</w:t>
      </w:r>
    </w:p>
    <w:p>
      <w:pPr>
        <w:spacing w:after="120" w:before="120"/>
        <w:jc w:val="both"/>
      </w:pPr>
      <w:r>
        <w:rPr>
          <w:rFonts w:ascii="Arial" w:cs="Arial" w:eastAsia="Arial" w:hAnsi="Arial"/>
          <w:sz w:val="22"/>
          <w:szCs w:val="22"/>
        </w:rPr>
        <w:t xml:space="preserve">This resolves the load-bearing gap identified by Foucaults_Zoomerang and Axe_MDK: Appendix C of Paper VIII sketches the θ→x identification but does not establish signature emergence. Paper XIII closes this gap rigorously.</w:t>
      </w:r>
    </w:p>
    <w:p>
      <w:pPr>
        <w:spacing w:after="120" w:before="120"/>
        <w:jc w:val="both"/>
      </w:pPr>
      <w:r>
        <w:rPr>
          <w:rFonts w:ascii="Arial" w:cs="Arial" w:eastAsia="Arial" w:hAnsi="Arial"/>
          <w:sz w:val="22"/>
          <w:szCs w:val="22"/>
        </w:rPr>
        <w:t xml:space="preserve">The result has a physical interpretation: the Schur complement S measures the residual time-time Fisher distinguishability orthogonal to all spatial directions. The physical metric assigns negative weight to this component because the time direction is informationally compressed relative to spatial directions — a consequence of the ghost-freedom constraint, not an assumption.</w:t>
      </w:r>
    </w:p>
    <w:p>
      <w:pPr>
        <w:spacing w:after="120" w:before="120"/>
        <w:jc w:val="both"/>
      </w:pPr>
      <w:r>
        <w:rPr>
          <w:rFonts w:ascii="Arial" w:cs="Arial" w:eastAsia="Arial" w:hAnsi="Arial"/>
          <w:sz w:val="22"/>
          <w:szCs w:val="22"/>
        </w:rPr>
        <w:t xml:space="preserve">The WEC connection (Section 5) further grounds the result: Lorentzian signature in IDG reflects the fundamental asymmetry between positive energy density and spatial stresses, encoded in the sign of the trace source T &lt; 0 for physical matter.</w:t>
      </w:r>
    </w:p>
    <w:p>
      <w:pPr>
        <w:pStyle w:val="Heading1"/>
        <w:spacing w:after="180" w:before="360"/>
      </w:pPr>
      <w:r>
        <w:rPr>
          <w:rFonts w:ascii="Arial" w:cs="Arial" w:eastAsia="Arial" w:hAnsi="Arial"/>
          <w:b/>
          <w:bCs/>
          <w:sz w:val="32"/>
          <w:szCs w:val="32"/>
        </w:rPr>
        <w:t xml:space="preserve">8. Conclusions</w:t>
      </w:r>
    </w:p>
    <w:p>
      <w:pPr>
        <w:spacing w:after="120" w:before="120"/>
        <w:jc w:val="both"/>
      </w:pPr>
      <w:r>
        <w:rPr>
          <w:rFonts w:ascii="Arial" w:cs="Arial" w:eastAsia="Arial" w:hAnsi="Arial"/>
          <w:sz w:val="22"/>
          <w:szCs w:val="22"/>
        </w:rPr>
        <w:t xml:space="preserve">We have established the Bridge Lemma: Lorentzian signature (−,+,+,+) emerges from the IDG statistical geometry without Wick rotation. The proof is algebraic and rests on inputs already present in the IDG program: Theorem 4.1 (ghost-freedom), the Chentsov uniqueness theorem, and the ADM block structure of the Fisher tensor.</w:t>
      </w:r>
    </w:p>
    <w:p>
      <w:pPr>
        <w:spacing w:after="120" w:before="120"/>
        <w:jc w:val="both"/>
      </w:pPr>
      <w:r>
        <w:rPr>
          <w:rFonts w:ascii="Arial" w:cs="Arial" w:eastAsia="Arial" w:hAnsi="Arial"/>
          <w:sz w:val="22"/>
          <w:szCs w:val="22"/>
        </w:rPr>
        <w:t xml:space="preserve">Combined with Lemma 3.1 (dimension matching) and the Chentsov uniqueness theorem, the full θμ → xμ identification is now rigorous. The statistical manifold M_stat and physical spacetime are the same 4-dimensional Lorentzian manifold. The identification is not an assumption — it is the unique conclusion consistent with the axioms.</w:t>
      </w:r>
    </w:p>
    <w:p>
      <w:pPr>
        <w:spacing w:after="120" w:before="120"/>
        <w:jc w:val="both"/>
      </w:pPr>
      <w:r>
        <w:rPr>
          <w:rFonts w:ascii="Arial" w:cs="Arial" w:eastAsia="Arial" w:hAnsi="Arial"/>
          <w:sz w:val="22"/>
          <w:szCs w:val="22"/>
        </w:rPr>
        <w:t xml:space="preserve">This completes the foundational derivation of the IDG framework and removes the primary theoretical objection to the program.</w:t>
      </w:r>
    </w:p>
    <w:p>
      <w:pPr>
        <w:pBdr>
          <w:bottom w:val="single" w:color="2E75B6" w:sz="6" w:space="1"/>
        </w:pBdr>
        <w:spacing w:after="240" w:before="0"/>
      </w:pPr>
    </w:p>
    <w:p>
      <w:pPr>
        <w:pStyle w:val="Heading1"/>
        <w:spacing w:after="180" w:before="360"/>
      </w:pPr>
      <w:r>
        <w:rPr>
          <w:rFonts w:ascii="Arial" w:cs="Arial" w:eastAsia="Arial" w:hAnsi="Arial"/>
          <w:b/>
          <w:bCs/>
          <w:sz w:val="32"/>
          <w:szCs w:val="32"/>
        </w:rPr>
        <w:t xml:space="preserve">References</w:t>
      </w:r>
    </w:p>
    <w:p>
      <w:pPr>
        <w:spacing w:after="120" w:before="120"/>
        <w:jc w:val="both"/>
      </w:pPr>
      <w:r>
        <w:rPr>
          <w:rFonts w:ascii="Arial" w:cs="Arial" w:eastAsia="Arial" w:hAnsi="Arial"/>
          <w:sz w:val="22"/>
          <w:szCs w:val="22"/>
        </w:rPr>
        <w:t xml:space="preserve">[1] Cobham, B. (2025–2026). IDG Papers I–XII. Blacknet Labs. Zenodo preprints.</w:t>
      </w:r>
    </w:p>
    <w:p>
      <w:pPr>
        <w:spacing w:after="120" w:before="120"/>
        <w:jc w:val="both"/>
      </w:pPr>
      <w:r>
        <w:rPr>
          <w:rFonts w:ascii="Arial" w:cs="Arial" w:eastAsia="Arial" w:hAnsi="Arial"/>
          <w:sz w:val="22"/>
          <w:szCs w:val="22"/>
        </w:rPr>
        <w:t xml:space="preserve">[2] Amari, S. &amp; Nagaoka, H. (2000). Methods of Information Geometry. AMS/Oxford.</w:t>
      </w:r>
    </w:p>
    <w:p>
      <w:pPr>
        <w:spacing w:after="120" w:before="120"/>
        <w:jc w:val="both"/>
      </w:pPr>
      <w:r>
        <w:rPr>
          <w:rFonts w:ascii="Arial" w:cs="Arial" w:eastAsia="Arial" w:hAnsi="Arial"/>
          <w:sz w:val="22"/>
          <w:szCs w:val="22"/>
        </w:rPr>
        <w:t xml:space="preserve">[3] Chentsov, N.N. (1982). Statistical Decision Rules and Optimal Inference. AMS.</w:t>
      </w:r>
    </w:p>
    <w:p>
      <w:pPr>
        <w:spacing w:after="120" w:before="120"/>
        <w:jc w:val="both"/>
      </w:pPr>
      <w:r>
        <w:rPr>
          <w:rFonts w:ascii="Arial" w:cs="Arial" w:eastAsia="Arial" w:hAnsi="Arial"/>
          <w:sz w:val="22"/>
          <w:szCs w:val="22"/>
        </w:rPr>
        <w:t xml:space="preserve">[4] Pogosian, L. &amp; Silvestri, A. (2016). What can cosmology tell us about gravity? Phys. Rev. D 94, 104014.</w:t>
      </w:r>
    </w:p>
    <w:p>
      <w:pPr>
        <w:spacing w:after="120" w:before="120"/>
        <w:jc w:val="both"/>
      </w:pPr>
      <w:r>
        <w:rPr>
          <w:rFonts w:ascii="Arial" w:cs="Arial" w:eastAsia="Arial" w:hAnsi="Arial"/>
          <w:sz w:val="22"/>
          <w:szCs w:val="22"/>
        </w:rPr>
        <w:t xml:space="preserve">[5] Abbott, B. P. et al. / LIGO-Virgo (2017). GW170817. Phys. Rev. Lett. 119, 161101.</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2E75B6"/>
      <w:sz w:val="32"/>
      <w:szCs w:val="32"/>
    </w:rPr>
  </w:style>
  <w:style w:type="paragraph" w:styleId="Heading2">
    <w:name w:val="Heading 2"/>
    <w:basedOn w:val="Normal"/>
    <w:next w:val="Normal"/>
    <w:qFormat/>
    <w:pPr>
      <w:spacing w:after="120" w:before="240"/>
      <w:outlineLvl w:val="1"/>
    </w:pPr>
    <w:rPr>
      <w:rFonts w:ascii="Arial" w:cs="Arial" w:eastAsia="Arial" w:hAnsi="Arial"/>
      <w:b/>
      <w:bCs/>
      <w:color w:val="1F4E79"/>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2026-05-11T01:34:37.053Z</dcterms:created>
  <dcterms:modified xsi:type="dcterms:W3CDTF">2026-05-11T01:34:37.053Z</dcterms:modified>
</cp:coreProperties>
</file>

<file path=docProps/custom.xml><?xml version="1.0" encoding="utf-8"?>
<Properties xmlns="http://schemas.openxmlformats.org/officeDocument/2006/custom-properties" xmlns:vt="http://schemas.openxmlformats.org/officeDocument/2006/docPropsVTypes"/>
</file>